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D6" w:rsidRPr="00A733D6" w:rsidRDefault="00A733D6" w:rsidP="00A733D6">
      <w:pPr>
        <w:shd w:val="clear" w:color="auto" w:fill="FFFFFF"/>
        <w:spacing w:before="100" w:after="0" w:line="300" w:lineRule="atLeast"/>
        <w:ind w:firstLine="709"/>
        <w:jc w:val="center"/>
        <w:outlineLvl w:val="0"/>
        <w:rPr>
          <w:rFonts w:ascii="Times New Roman" w:eastAsia="Times New Roman" w:hAnsi="Times New Roman" w:cs="Times New Roman"/>
          <w:b/>
          <w:color w:val="475C7A"/>
          <w:kern w:val="36"/>
          <w:sz w:val="36"/>
          <w:szCs w:val="36"/>
          <w:lang w:eastAsia="ru-RU"/>
        </w:rPr>
      </w:pPr>
      <w:r w:rsidRPr="00A733D6">
        <w:rPr>
          <w:rFonts w:ascii="Times New Roman" w:eastAsia="Times New Roman" w:hAnsi="Times New Roman" w:cs="Times New Roman"/>
          <w:b/>
          <w:color w:val="475C7A"/>
          <w:kern w:val="36"/>
          <w:sz w:val="36"/>
          <w:szCs w:val="36"/>
          <w:lang w:eastAsia="ru-RU"/>
        </w:rPr>
        <w:t xml:space="preserve">Дидактические игры с блоками </w:t>
      </w:r>
      <w:proofErr w:type="spellStart"/>
      <w:r w:rsidRPr="00A733D6">
        <w:rPr>
          <w:rFonts w:ascii="Times New Roman" w:eastAsia="Times New Roman" w:hAnsi="Times New Roman" w:cs="Times New Roman"/>
          <w:b/>
          <w:color w:val="475C7A"/>
          <w:kern w:val="36"/>
          <w:sz w:val="36"/>
          <w:szCs w:val="36"/>
          <w:lang w:eastAsia="ru-RU"/>
        </w:rPr>
        <w:t>Дьенеша</w:t>
      </w:r>
      <w:proofErr w:type="spellEnd"/>
      <w:r w:rsidRPr="00A733D6">
        <w:rPr>
          <w:rFonts w:ascii="Times New Roman" w:eastAsia="Times New Roman" w:hAnsi="Times New Roman" w:cs="Times New Roman"/>
          <w:b/>
          <w:color w:val="475C7A"/>
          <w:kern w:val="36"/>
          <w:sz w:val="36"/>
          <w:szCs w:val="36"/>
          <w:lang w:eastAsia="ru-RU"/>
        </w:rPr>
        <w:t xml:space="preserve"> как одна из форм развития общих способностей дошкольников</w:t>
      </w:r>
    </w:p>
    <w:p w:rsid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Способности - это индивидуальные психологические особенности, отличающие одних людей от других. Речь идет только о тех особенностях, которые содействуют успешной деятельности. Способности не сводимы к знаниям, умениям и навыкам, хотя и обусловливают быстроту их приобретения. Способность - одно из базовых каче</w:t>
      </w:r>
      <w:proofErr w:type="gramStart"/>
      <w:r w:rsidRPr="00A733D6">
        <w:rPr>
          <w:rFonts w:ascii="Times New Roman" w:eastAsia="Times New Roman" w:hAnsi="Times New Roman" w:cs="Times New Roman"/>
          <w:color w:val="303F50"/>
          <w:sz w:val="28"/>
          <w:szCs w:val="28"/>
          <w:lang w:eastAsia="ru-RU"/>
        </w:rPr>
        <w:t>ств пс</w:t>
      </w:r>
      <w:proofErr w:type="gramEnd"/>
      <w:r w:rsidRPr="00A733D6">
        <w:rPr>
          <w:rFonts w:ascii="Times New Roman" w:eastAsia="Times New Roman" w:hAnsi="Times New Roman" w:cs="Times New Roman"/>
          <w:color w:val="303F50"/>
          <w:sz w:val="28"/>
          <w:szCs w:val="28"/>
          <w:lang w:eastAsia="ru-RU"/>
        </w:rPr>
        <w:t>ихики. Общие способности — индивидуально-психологические свойства личности, являющиеся условиями достижения, высокой эффективности во многих видах деятельности.</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Развитие общих способностей начинается с самого раннего возраста и продолжается на протяжении всей жизни. </w:t>
      </w:r>
      <w:proofErr w:type="gramStart"/>
      <w:r w:rsidRPr="00A733D6">
        <w:rPr>
          <w:rFonts w:ascii="Times New Roman" w:eastAsia="Times New Roman" w:hAnsi="Times New Roman" w:cs="Times New Roman"/>
          <w:color w:val="303F50"/>
          <w:sz w:val="28"/>
          <w:szCs w:val="28"/>
          <w:lang w:eastAsia="ru-RU"/>
        </w:rPr>
        <w:t>К факторам, влияющим на развитие способностей, относят: генетические, внутриутробного развития, момента рождения, окружающей среды (психическая стимуляция, поддержка, питание), социальные условия.</w:t>
      </w:r>
      <w:proofErr w:type="gramEnd"/>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Дидактические игры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 (В. Н. Кругликов, 1988). </w:t>
      </w:r>
      <w:proofErr w:type="gramStart"/>
      <w:r w:rsidRPr="00A733D6">
        <w:rPr>
          <w:rFonts w:ascii="Times New Roman" w:eastAsia="Times New Roman" w:hAnsi="Times New Roman" w:cs="Times New Roman"/>
          <w:color w:val="303F50"/>
          <w:sz w:val="28"/>
          <w:szCs w:val="28"/>
          <w:lang w:eastAsia="ru-RU"/>
        </w:rPr>
        <w:t>Дидактическая игра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w:t>
      </w:r>
      <w:proofErr w:type="gramEnd"/>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Дидактические игры отличаются от остальных рядом характерных особенностей:</w:t>
      </w:r>
    </w:p>
    <w:p w:rsidR="00A733D6" w:rsidRPr="00A733D6" w:rsidRDefault="00A733D6" w:rsidP="00A733D6">
      <w:pPr>
        <w:numPr>
          <w:ilvl w:val="0"/>
          <w:numId w:val="2"/>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познавательное содержание в них объединяется с игровой формой;</w:t>
      </w:r>
    </w:p>
    <w:p w:rsidR="00A733D6" w:rsidRPr="00A733D6" w:rsidRDefault="00A733D6" w:rsidP="00A733D6">
      <w:pPr>
        <w:numPr>
          <w:ilvl w:val="0"/>
          <w:numId w:val="2"/>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присутствуют игровые правила и игровые действия;</w:t>
      </w:r>
    </w:p>
    <w:p w:rsidR="00A733D6" w:rsidRPr="00A733D6" w:rsidRDefault="00A733D6" w:rsidP="00A733D6">
      <w:pPr>
        <w:numPr>
          <w:ilvl w:val="0"/>
          <w:numId w:val="2"/>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определены дидактические задачи.</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Дидактические игры способствуют развитию общих способностей детей: интеллектуальных, </w:t>
      </w:r>
      <w:proofErr w:type="spellStart"/>
      <w:r w:rsidRPr="00A733D6">
        <w:rPr>
          <w:rFonts w:ascii="Times New Roman" w:eastAsia="Times New Roman" w:hAnsi="Times New Roman" w:cs="Times New Roman"/>
          <w:color w:val="303F50"/>
          <w:sz w:val="28"/>
          <w:szCs w:val="28"/>
          <w:lang w:eastAsia="ru-RU"/>
        </w:rPr>
        <w:t>саморегуляции</w:t>
      </w:r>
      <w:proofErr w:type="spellEnd"/>
      <w:r w:rsidRPr="00A733D6">
        <w:rPr>
          <w:rFonts w:ascii="Times New Roman" w:eastAsia="Times New Roman" w:hAnsi="Times New Roman" w:cs="Times New Roman"/>
          <w:color w:val="303F50"/>
          <w:sz w:val="28"/>
          <w:szCs w:val="28"/>
          <w:lang w:eastAsia="ru-RU"/>
        </w:rPr>
        <w:t>.</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Автором - разработчиком дидактического пособия – «Логические блоки», венгерским психологом и математиком </w:t>
      </w:r>
      <w:proofErr w:type="spellStart"/>
      <w:r w:rsidRPr="00A733D6">
        <w:rPr>
          <w:rFonts w:ascii="Times New Roman" w:eastAsia="Times New Roman" w:hAnsi="Times New Roman" w:cs="Times New Roman"/>
          <w:color w:val="303F50"/>
          <w:sz w:val="28"/>
          <w:szCs w:val="28"/>
          <w:lang w:eastAsia="ru-RU"/>
        </w:rPr>
        <w:t>Дьенешем</w:t>
      </w:r>
      <w:proofErr w:type="spellEnd"/>
      <w:r w:rsidRPr="00A733D6">
        <w:rPr>
          <w:rFonts w:ascii="Times New Roman" w:eastAsia="Times New Roman" w:hAnsi="Times New Roman" w:cs="Times New Roman"/>
          <w:color w:val="303F50"/>
          <w:sz w:val="28"/>
          <w:szCs w:val="28"/>
          <w:lang w:eastAsia="ru-RU"/>
        </w:rPr>
        <w:t xml:space="preserve"> предложена система дидактических игр с данным пособием. Более полная система игр и игровых упражнений с логическими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представлена в книгах «Давайте поиграем» А.А. Столяра и «Логика и математика для дошкольников» З.А. Михайловой. Система игр представлена по принципу – от </w:t>
      </w:r>
      <w:proofErr w:type="gramStart"/>
      <w:r w:rsidRPr="00A733D6">
        <w:rPr>
          <w:rFonts w:ascii="Times New Roman" w:eastAsia="Times New Roman" w:hAnsi="Times New Roman" w:cs="Times New Roman"/>
          <w:color w:val="303F50"/>
          <w:sz w:val="28"/>
          <w:szCs w:val="28"/>
          <w:lang w:eastAsia="ru-RU"/>
        </w:rPr>
        <w:t>простого</w:t>
      </w:r>
      <w:proofErr w:type="gramEnd"/>
      <w:r w:rsidRPr="00A733D6">
        <w:rPr>
          <w:rFonts w:ascii="Times New Roman" w:eastAsia="Times New Roman" w:hAnsi="Times New Roman" w:cs="Times New Roman"/>
          <w:color w:val="303F50"/>
          <w:sz w:val="28"/>
          <w:szCs w:val="28"/>
          <w:lang w:eastAsia="ru-RU"/>
        </w:rPr>
        <w:t xml:space="preserve"> к сложному.</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На основе разработок Михайловой З.А. </w:t>
      </w:r>
      <w:proofErr w:type="spellStart"/>
      <w:r w:rsidRPr="00A733D6">
        <w:rPr>
          <w:rFonts w:ascii="Times New Roman" w:eastAsia="Times New Roman" w:hAnsi="Times New Roman" w:cs="Times New Roman"/>
          <w:color w:val="303F50"/>
          <w:sz w:val="28"/>
          <w:szCs w:val="28"/>
          <w:lang w:eastAsia="ru-RU"/>
        </w:rPr>
        <w:t>Лелявиной</w:t>
      </w:r>
      <w:proofErr w:type="spellEnd"/>
      <w:r w:rsidRPr="00A733D6">
        <w:rPr>
          <w:rFonts w:ascii="Times New Roman" w:eastAsia="Times New Roman" w:hAnsi="Times New Roman" w:cs="Times New Roman"/>
          <w:color w:val="303F50"/>
          <w:sz w:val="28"/>
          <w:szCs w:val="28"/>
          <w:lang w:eastAsia="ru-RU"/>
        </w:rPr>
        <w:t xml:space="preserve"> Н.О. и </w:t>
      </w:r>
      <w:proofErr w:type="spellStart"/>
      <w:r w:rsidRPr="00A733D6">
        <w:rPr>
          <w:rFonts w:ascii="Times New Roman" w:eastAsia="Times New Roman" w:hAnsi="Times New Roman" w:cs="Times New Roman"/>
          <w:color w:val="303F50"/>
          <w:sz w:val="28"/>
          <w:szCs w:val="28"/>
          <w:lang w:eastAsia="ru-RU"/>
        </w:rPr>
        <w:t>Финкельштейн</w:t>
      </w:r>
      <w:proofErr w:type="spellEnd"/>
      <w:r w:rsidRPr="00A733D6">
        <w:rPr>
          <w:rFonts w:ascii="Times New Roman" w:eastAsia="Times New Roman" w:hAnsi="Times New Roman" w:cs="Times New Roman"/>
          <w:color w:val="303F50"/>
          <w:sz w:val="28"/>
          <w:szCs w:val="28"/>
          <w:lang w:eastAsia="ru-RU"/>
        </w:rPr>
        <w:t xml:space="preserve"> Б.Б. разработан комплект «Давайте вместе поиграем», </w:t>
      </w:r>
      <w:r w:rsidRPr="00A733D6">
        <w:rPr>
          <w:rFonts w:ascii="Times New Roman" w:eastAsia="Times New Roman" w:hAnsi="Times New Roman" w:cs="Times New Roman"/>
          <w:color w:val="303F50"/>
          <w:sz w:val="28"/>
          <w:szCs w:val="28"/>
          <w:lang w:eastAsia="ru-RU"/>
        </w:rPr>
        <w:lastRenderedPageBreak/>
        <w:t xml:space="preserve">который включает в себя иллюстративный вспомогательный материал для изготовления игр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и логическими фигурами и методические советы по использованию дидактических игр с блоками. Также </w:t>
      </w:r>
      <w:proofErr w:type="spellStart"/>
      <w:r w:rsidRPr="00A733D6">
        <w:rPr>
          <w:rFonts w:ascii="Times New Roman" w:eastAsia="Times New Roman" w:hAnsi="Times New Roman" w:cs="Times New Roman"/>
          <w:color w:val="303F50"/>
          <w:sz w:val="28"/>
          <w:szCs w:val="28"/>
          <w:lang w:eastAsia="ru-RU"/>
        </w:rPr>
        <w:t>Финкельштейн</w:t>
      </w:r>
      <w:proofErr w:type="spellEnd"/>
      <w:r w:rsidRPr="00A733D6">
        <w:rPr>
          <w:rFonts w:ascii="Times New Roman" w:eastAsia="Times New Roman" w:hAnsi="Times New Roman" w:cs="Times New Roman"/>
          <w:color w:val="303F50"/>
          <w:sz w:val="28"/>
          <w:szCs w:val="28"/>
          <w:lang w:eastAsia="ru-RU"/>
        </w:rPr>
        <w:t xml:space="preserve"> Б.Б. разработаны альбомы к циклу игр с дидактическим материалом – блоки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для детей каждого возрастного периода.</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Дидактические игры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можно проводить с детьми, начиная с 2-3 лет, в зависимости от индивидуальных особенностей детей.</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Система работы начинается с занятия по ознакомлению детей с блоками и их свойствами: «Сказка о чудесной коробочке с блоками»</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Далее с детьми проводятся следующие дидактические игры:</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«Угадай блок» (по 2-3 свойствам);</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«Выложи предмет» (в альбоме «Блоки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для самых маленьких»);</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«Составь узор» (плоский вариант блоков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«Сложи предмет» (плоский вариант);</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«Бусы» (выкладывание бус из заданных блоков);</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«Художники» (с готовыми «эскизами», детям нужно их «дописать»);</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«Угощение для медвежат» (подбор двух блоков с одним различным свойством);</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«Магазин» (купить игрушку с таким же блоком, как «денежка» у ребенка);</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«Логический поезд» (расставить блок по вагонам в соответствии с заданным изменяющимся свойством);</w:t>
      </w:r>
    </w:p>
    <w:p w:rsidR="00A733D6" w:rsidRPr="00A733D6" w:rsidRDefault="00A733D6" w:rsidP="00A733D6">
      <w:pPr>
        <w:numPr>
          <w:ilvl w:val="0"/>
          <w:numId w:val="3"/>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«Найди пару».</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proofErr w:type="gramStart"/>
      <w:r w:rsidRPr="00A733D6">
        <w:rPr>
          <w:rFonts w:ascii="Times New Roman" w:eastAsia="Times New Roman" w:hAnsi="Times New Roman" w:cs="Times New Roman"/>
          <w:color w:val="303F50"/>
          <w:sz w:val="28"/>
          <w:szCs w:val="28"/>
          <w:lang w:eastAsia="ru-RU"/>
        </w:rPr>
        <w:t>На следующем возрастном этапе (4-5 лет) детей знакомят с карточками - обозначением свойств блоков (большой – маленький; красный – синий – желтый; толстый – тонкий) – дидактическая игра «Карточки – символы свойств».</w:t>
      </w:r>
      <w:proofErr w:type="gramEnd"/>
      <w:r w:rsidRPr="00A733D6">
        <w:rPr>
          <w:rFonts w:ascii="Times New Roman" w:eastAsia="Times New Roman" w:hAnsi="Times New Roman" w:cs="Times New Roman"/>
          <w:color w:val="303F50"/>
          <w:sz w:val="28"/>
          <w:szCs w:val="28"/>
          <w:lang w:eastAsia="ru-RU"/>
        </w:rPr>
        <w:t xml:space="preserve"> Далее с детьми проводятся те же дидактические игры, как и на предыдущем этапе, при этом включая в ход игры использование карточек – свойств. На этом этапе для игры «Выложи предмет» используется альбом </w:t>
      </w:r>
      <w:proofErr w:type="spellStart"/>
      <w:r w:rsidRPr="00A733D6">
        <w:rPr>
          <w:rFonts w:ascii="Times New Roman" w:eastAsia="Times New Roman" w:hAnsi="Times New Roman" w:cs="Times New Roman"/>
          <w:color w:val="303F50"/>
          <w:sz w:val="28"/>
          <w:szCs w:val="28"/>
          <w:lang w:eastAsia="ru-RU"/>
        </w:rPr>
        <w:t>Финкельштейн</w:t>
      </w:r>
      <w:proofErr w:type="spellEnd"/>
      <w:r w:rsidRPr="00A733D6">
        <w:rPr>
          <w:rFonts w:ascii="Times New Roman" w:eastAsia="Times New Roman" w:hAnsi="Times New Roman" w:cs="Times New Roman"/>
          <w:color w:val="303F50"/>
          <w:sz w:val="28"/>
          <w:szCs w:val="28"/>
          <w:lang w:eastAsia="ru-RU"/>
        </w:rPr>
        <w:t xml:space="preserve"> Б.Б. «Лепим нелепицы».</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На последнем этапе работы (5-7 лет) дидактические игры усложняются. </w:t>
      </w:r>
      <w:proofErr w:type="gramStart"/>
      <w:r w:rsidRPr="00A733D6">
        <w:rPr>
          <w:rFonts w:ascii="Times New Roman" w:eastAsia="Times New Roman" w:hAnsi="Times New Roman" w:cs="Times New Roman"/>
          <w:color w:val="303F50"/>
          <w:sz w:val="28"/>
          <w:szCs w:val="28"/>
          <w:lang w:eastAsia="ru-RU"/>
        </w:rPr>
        <w:t>К уже изученным карточкам – свойствам блоков добавляются карточки – отрицания свойств (не толстый – тонкий, не тонкий – толстый, не большой – маленький, не маленький – большой, не красный – синий или желтый, не желтый – красный или синий, не синий – желтый или красный).</w:t>
      </w:r>
      <w:proofErr w:type="gramEnd"/>
      <w:r w:rsidRPr="00A733D6">
        <w:rPr>
          <w:rFonts w:ascii="Times New Roman" w:eastAsia="Times New Roman" w:hAnsi="Times New Roman" w:cs="Times New Roman"/>
          <w:color w:val="303F50"/>
          <w:sz w:val="28"/>
          <w:szCs w:val="28"/>
          <w:lang w:eastAsia="ru-RU"/>
        </w:rPr>
        <w:t xml:space="preserve"> Сначала проводятся уже знакомые игры с новыми свойствами отрицания.</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Далее к изученным играм добавляются </w:t>
      </w:r>
      <w:proofErr w:type="gramStart"/>
      <w:r w:rsidRPr="00A733D6">
        <w:rPr>
          <w:rFonts w:ascii="Times New Roman" w:eastAsia="Times New Roman" w:hAnsi="Times New Roman" w:cs="Times New Roman"/>
          <w:color w:val="303F50"/>
          <w:sz w:val="28"/>
          <w:szCs w:val="28"/>
          <w:lang w:eastAsia="ru-RU"/>
        </w:rPr>
        <w:t>новые</w:t>
      </w:r>
      <w:proofErr w:type="gramEnd"/>
      <w:r w:rsidRPr="00A733D6">
        <w:rPr>
          <w:rFonts w:ascii="Times New Roman" w:eastAsia="Times New Roman" w:hAnsi="Times New Roman" w:cs="Times New Roman"/>
          <w:color w:val="303F50"/>
          <w:sz w:val="28"/>
          <w:szCs w:val="28"/>
          <w:lang w:eastAsia="ru-RU"/>
        </w:rPr>
        <w:t>:</w:t>
      </w:r>
    </w:p>
    <w:p w:rsidR="00A733D6" w:rsidRPr="00A733D6" w:rsidRDefault="00A733D6" w:rsidP="00A733D6">
      <w:pPr>
        <w:numPr>
          <w:ilvl w:val="0"/>
          <w:numId w:val="4"/>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«Архитекторы» (дети разрабатывают проект детской площадки, выбирая материал в соответствии с заданными правилами);</w:t>
      </w:r>
    </w:p>
    <w:p w:rsidR="00A733D6" w:rsidRPr="00A733D6" w:rsidRDefault="00A733D6" w:rsidP="00A733D6">
      <w:pPr>
        <w:numPr>
          <w:ilvl w:val="0"/>
          <w:numId w:val="4"/>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lastRenderedPageBreak/>
        <w:t>«Логический поезд» (использование карточек с числовым соотнесением);</w:t>
      </w:r>
    </w:p>
    <w:p w:rsidR="00A733D6" w:rsidRPr="00A733D6" w:rsidRDefault="00A733D6" w:rsidP="00A733D6">
      <w:pPr>
        <w:numPr>
          <w:ilvl w:val="0"/>
          <w:numId w:val="4"/>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w:t>
      </w:r>
      <w:proofErr w:type="spellStart"/>
      <w:r w:rsidRPr="00A733D6">
        <w:rPr>
          <w:rFonts w:ascii="Times New Roman" w:eastAsia="Times New Roman" w:hAnsi="Times New Roman" w:cs="Times New Roman"/>
          <w:color w:val="303F50"/>
          <w:sz w:val="28"/>
          <w:szCs w:val="28"/>
          <w:lang w:eastAsia="ru-RU"/>
        </w:rPr>
        <w:t>Мозайка</w:t>
      </w:r>
      <w:proofErr w:type="spellEnd"/>
      <w:r w:rsidRPr="00A733D6">
        <w:rPr>
          <w:rFonts w:ascii="Times New Roman" w:eastAsia="Times New Roman" w:hAnsi="Times New Roman" w:cs="Times New Roman"/>
          <w:color w:val="303F50"/>
          <w:sz w:val="28"/>
          <w:szCs w:val="28"/>
          <w:lang w:eastAsia="ru-RU"/>
        </w:rPr>
        <w:t xml:space="preserve"> цифр» (дети расшифровывают карточку и выбирают нужный блок);</w:t>
      </w:r>
    </w:p>
    <w:p w:rsidR="00A733D6" w:rsidRPr="00A733D6" w:rsidRDefault="00A733D6" w:rsidP="00A733D6">
      <w:pPr>
        <w:numPr>
          <w:ilvl w:val="0"/>
          <w:numId w:val="4"/>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Игры с использованием логических кубиков - свойств: </w:t>
      </w:r>
      <w:proofErr w:type="gramStart"/>
      <w:r w:rsidRPr="00A733D6">
        <w:rPr>
          <w:rFonts w:ascii="Times New Roman" w:eastAsia="Times New Roman" w:hAnsi="Times New Roman" w:cs="Times New Roman"/>
          <w:color w:val="303F50"/>
          <w:sz w:val="28"/>
          <w:szCs w:val="28"/>
          <w:lang w:eastAsia="ru-RU"/>
        </w:rPr>
        <w:t>«День рождения» (замещение – подарок), «Рыбалка» (замещение – рыбы), «Космос» (инопланетяне) и т.д. в соответствии с выбранной темой.</w:t>
      </w:r>
      <w:proofErr w:type="gramEnd"/>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Также на этом этапе используются альбомы </w:t>
      </w:r>
      <w:proofErr w:type="spellStart"/>
      <w:r w:rsidRPr="00A733D6">
        <w:rPr>
          <w:rFonts w:ascii="Times New Roman" w:eastAsia="Times New Roman" w:hAnsi="Times New Roman" w:cs="Times New Roman"/>
          <w:color w:val="303F50"/>
          <w:sz w:val="28"/>
          <w:szCs w:val="28"/>
          <w:lang w:eastAsia="ru-RU"/>
        </w:rPr>
        <w:t>Фенкельштейн</w:t>
      </w:r>
      <w:proofErr w:type="spellEnd"/>
      <w:r w:rsidRPr="00A733D6">
        <w:rPr>
          <w:rFonts w:ascii="Times New Roman" w:eastAsia="Times New Roman" w:hAnsi="Times New Roman" w:cs="Times New Roman"/>
          <w:color w:val="303F50"/>
          <w:sz w:val="28"/>
          <w:szCs w:val="28"/>
          <w:lang w:eastAsia="ru-RU"/>
        </w:rPr>
        <w:t xml:space="preserve"> Б.Б. – «Поиск затонувшего клада», «Праздник в стране блоков», «Спасатели приходят на помощь» для индивидуальной работы и работы в небольшой подгруппе детей (2-3 человека).</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Применение системы дидактических игр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в работе с детьми дошкольного возраста способствует:</w:t>
      </w:r>
    </w:p>
    <w:p w:rsidR="00A733D6" w:rsidRPr="00A733D6" w:rsidRDefault="00A733D6" w:rsidP="00A733D6">
      <w:pPr>
        <w:numPr>
          <w:ilvl w:val="0"/>
          <w:numId w:val="5"/>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ознакомлению детей с геометрическими фигурами и формой предметов, размером;</w:t>
      </w:r>
    </w:p>
    <w:p w:rsidR="00A733D6" w:rsidRPr="00A733D6" w:rsidRDefault="00A733D6" w:rsidP="00A733D6">
      <w:pPr>
        <w:numPr>
          <w:ilvl w:val="0"/>
          <w:numId w:val="5"/>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развитию мыслительных умений: сравнивать, анализировать, классифицировать, обобщать, абстрагировать, кодировать и декодировать информацию;</w:t>
      </w:r>
    </w:p>
    <w:p w:rsidR="00A733D6" w:rsidRPr="00A733D6" w:rsidRDefault="00A733D6" w:rsidP="00A733D6">
      <w:pPr>
        <w:numPr>
          <w:ilvl w:val="0"/>
          <w:numId w:val="5"/>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усвоению элементарных навыков алгоритмической культуры мышления;</w:t>
      </w:r>
    </w:p>
    <w:p w:rsidR="00A733D6" w:rsidRPr="00A733D6" w:rsidRDefault="00A733D6" w:rsidP="00A733D6">
      <w:pPr>
        <w:numPr>
          <w:ilvl w:val="0"/>
          <w:numId w:val="5"/>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развитию познавательных процессов;</w:t>
      </w:r>
    </w:p>
    <w:p w:rsidR="00A733D6" w:rsidRPr="00A733D6" w:rsidRDefault="00A733D6" w:rsidP="00A733D6">
      <w:pPr>
        <w:numPr>
          <w:ilvl w:val="0"/>
          <w:numId w:val="5"/>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а на более поздних этапах – развитию творческих способностей.</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w:t>
      </w:r>
    </w:p>
    <w:p w:rsidR="00A733D6" w:rsidRPr="00A733D6" w:rsidRDefault="00A733D6" w:rsidP="00A733D6">
      <w:pPr>
        <w:shd w:val="clear" w:color="auto" w:fill="FFFFFF"/>
        <w:spacing w:before="100" w:after="100" w:line="195"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Список использованной литературы:</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Википедия. http://ru.wikipedia.org/wiki</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Давайте поиграем</w:t>
      </w:r>
      <w:proofErr w:type="gramStart"/>
      <w:r w:rsidRPr="00A733D6">
        <w:rPr>
          <w:rFonts w:ascii="Times New Roman" w:eastAsia="Times New Roman" w:hAnsi="Times New Roman" w:cs="Times New Roman"/>
          <w:color w:val="303F50"/>
          <w:sz w:val="28"/>
          <w:szCs w:val="28"/>
          <w:lang w:eastAsia="ru-RU"/>
        </w:rPr>
        <w:t xml:space="preserve"> / П</w:t>
      </w:r>
      <w:proofErr w:type="gramEnd"/>
      <w:r w:rsidRPr="00A733D6">
        <w:rPr>
          <w:rFonts w:ascii="Times New Roman" w:eastAsia="Times New Roman" w:hAnsi="Times New Roman" w:cs="Times New Roman"/>
          <w:color w:val="303F50"/>
          <w:sz w:val="28"/>
          <w:szCs w:val="28"/>
          <w:lang w:eastAsia="ru-RU"/>
        </w:rPr>
        <w:t>од ред. А.А. Столяра. – М., 1996 .</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proofErr w:type="spellStart"/>
      <w:r w:rsidRPr="00A733D6">
        <w:rPr>
          <w:rFonts w:ascii="Times New Roman" w:eastAsia="Times New Roman" w:hAnsi="Times New Roman" w:cs="Times New Roman"/>
          <w:color w:val="303F50"/>
          <w:sz w:val="28"/>
          <w:szCs w:val="28"/>
          <w:lang w:eastAsia="ru-RU"/>
        </w:rPr>
        <w:t>Беленок</w:t>
      </w:r>
      <w:proofErr w:type="spellEnd"/>
      <w:r w:rsidRPr="00A733D6">
        <w:rPr>
          <w:rFonts w:ascii="Times New Roman" w:eastAsia="Times New Roman" w:hAnsi="Times New Roman" w:cs="Times New Roman"/>
          <w:color w:val="303F50"/>
          <w:sz w:val="28"/>
          <w:szCs w:val="28"/>
          <w:lang w:eastAsia="ru-RU"/>
        </w:rPr>
        <w:t xml:space="preserve"> И. Л., </w:t>
      </w:r>
      <w:proofErr w:type="gramStart"/>
      <w:r w:rsidRPr="00A733D6">
        <w:rPr>
          <w:rFonts w:ascii="Times New Roman" w:eastAsia="Times New Roman" w:hAnsi="Times New Roman" w:cs="Times New Roman"/>
          <w:color w:val="303F50"/>
          <w:sz w:val="28"/>
          <w:szCs w:val="28"/>
          <w:lang w:eastAsia="ru-RU"/>
        </w:rPr>
        <w:t>Мишина</w:t>
      </w:r>
      <w:proofErr w:type="gramEnd"/>
      <w:r w:rsidRPr="00A733D6">
        <w:rPr>
          <w:rFonts w:ascii="Times New Roman" w:eastAsia="Times New Roman" w:hAnsi="Times New Roman" w:cs="Times New Roman"/>
          <w:color w:val="303F50"/>
          <w:sz w:val="28"/>
          <w:szCs w:val="28"/>
          <w:lang w:eastAsia="ru-RU"/>
        </w:rPr>
        <w:t xml:space="preserve"> Ю. Д. Развитие общих способностей личности: учебное пособие.: </w:t>
      </w:r>
      <w:proofErr w:type="spellStart"/>
      <w:r w:rsidRPr="00A733D6">
        <w:rPr>
          <w:rFonts w:ascii="Times New Roman" w:eastAsia="Times New Roman" w:hAnsi="Times New Roman" w:cs="Times New Roman"/>
          <w:color w:val="303F50"/>
          <w:sz w:val="28"/>
          <w:szCs w:val="28"/>
          <w:lang w:eastAsia="ru-RU"/>
        </w:rPr>
        <w:t>Новосиб</w:t>
      </w:r>
      <w:proofErr w:type="spellEnd"/>
      <w:r w:rsidRPr="00A733D6">
        <w:rPr>
          <w:rFonts w:ascii="Times New Roman" w:eastAsia="Times New Roman" w:hAnsi="Times New Roman" w:cs="Times New Roman"/>
          <w:color w:val="303F50"/>
          <w:sz w:val="28"/>
          <w:szCs w:val="28"/>
          <w:lang w:eastAsia="ru-RU"/>
        </w:rPr>
        <w:t>. Гос. Ун-т. - Новосибирск, 2005. - 112 с.</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Карпов А. Психология менеджмента. Словарь основных терминов. 2005.</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proofErr w:type="spellStart"/>
      <w:r w:rsidRPr="00A733D6">
        <w:rPr>
          <w:rFonts w:ascii="Times New Roman" w:eastAsia="Times New Roman" w:hAnsi="Times New Roman" w:cs="Times New Roman"/>
          <w:color w:val="303F50"/>
          <w:sz w:val="28"/>
          <w:szCs w:val="28"/>
          <w:lang w:eastAsia="ru-RU"/>
        </w:rPr>
        <w:t>Лелявина</w:t>
      </w:r>
      <w:proofErr w:type="spellEnd"/>
      <w:r w:rsidRPr="00A733D6">
        <w:rPr>
          <w:rFonts w:ascii="Times New Roman" w:eastAsia="Times New Roman" w:hAnsi="Times New Roman" w:cs="Times New Roman"/>
          <w:color w:val="303F50"/>
          <w:sz w:val="28"/>
          <w:szCs w:val="28"/>
          <w:lang w:eastAsia="ru-RU"/>
        </w:rPr>
        <w:t xml:space="preserve"> Н.О., </w:t>
      </w:r>
      <w:proofErr w:type="spellStart"/>
      <w:r w:rsidRPr="00A733D6">
        <w:rPr>
          <w:rFonts w:ascii="Times New Roman" w:eastAsia="Times New Roman" w:hAnsi="Times New Roman" w:cs="Times New Roman"/>
          <w:color w:val="303F50"/>
          <w:sz w:val="28"/>
          <w:szCs w:val="28"/>
          <w:lang w:eastAsia="ru-RU"/>
        </w:rPr>
        <w:t>Финкельштейн</w:t>
      </w:r>
      <w:proofErr w:type="spellEnd"/>
      <w:r w:rsidRPr="00A733D6">
        <w:rPr>
          <w:rFonts w:ascii="Times New Roman" w:eastAsia="Times New Roman" w:hAnsi="Times New Roman" w:cs="Times New Roman"/>
          <w:color w:val="303F50"/>
          <w:sz w:val="28"/>
          <w:szCs w:val="28"/>
          <w:lang w:eastAsia="ru-RU"/>
        </w:rPr>
        <w:t xml:space="preserve"> Б.Б. Давайте вместе поиграем. Методические советы по использованию дидактических игр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ООО «Корвет». – СПб, 11с.</w:t>
      </w:r>
    </w:p>
    <w:p w:rsidR="00A733D6" w:rsidRPr="00A733D6" w:rsidRDefault="00A733D6" w:rsidP="00A733D6">
      <w:pPr>
        <w:numPr>
          <w:ilvl w:val="0"/>
          <w:numId w:val="6"/>
        </w:numPr>
        <w:shd w:val="clear" w:color="auto" w:fill="FFFFFF"/>
        <w:spacing w:before="30" w:after="0" w:line="195" w:lineRule="atLeast"/>
        <w:ind w:left="110"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Логика и математика для дошкольников</w:t>
      </w:r>
      <w:proofErr w:type="gramStart"/>
      <w:r w:rsidRPr="00A733D6">
        <w:rPr>
          <w:rFonts w:ascii="Times New Roman" w:eastAsia="Times New Roman" w:hAnsi="Times New Roman" w:cs="Times New Roman"/>
          <w:color w:val="303F50"/>
          <w:sz w:val="28"/>
          <w:szCs w:val="28"/>
          <w:lang w:eastAsia="ru-RU"/>
        </w:rPr>
        <w:t xml:space="preserve"> / П</w:t>
      </w:r>
      <w:proofErr w:type="gramEnd"/>
      <w:r w:rsidRPr="00A733D6">
        <w:rPr>
          <w:rFonts w:ascii="Times New Roman" w:eastAsia="Times New Roman" w:hAnsi="Times New Roman" w:cs="Times New Roman"/>
          <w:color w:val="303F50"/>
          <w:sz w:val="28"/>
          <w:szCs w:val="28"/>
          <w:lang w:eastAsia="ru-RU"/>
        </w:rPr>
        <w:t>од ред. З.А. Михайловой. – СПб, 1996.</w:t>
      </w:r>
    </w:p>
    <w:p w:rsidR="00A733D6" w:rsidRPr="00A733D6" w:rsidRDefault="00A733D6" w:rsidP="00887EE1">
      <w:pPr>
        <w:shd w:val="clear" w:color="auto" w:fill="FFFFFF"/>
        <w:spacing w:before="150" w:after="0" w:line="450" w:lineRule="atLeast"/>
        <w:ind w:firstLine="709"/>
        <w:jc w:val="center"/>
        <w:outlineLvl w:val="0"/>
        <w:rPr>
          <w:rFonts w:ascii="Times New Roman" w:eastAsia="Times New Roman" w:hAnsi="Times New Roman" w:cs="Times New Roman"/>
          <w:color w:val="475C7A"/>
          <w:kern w:val="36"/>
          <w:sz w:val="28"/>
          <w:szCs w:val="28"/>
          <w:lang w:eastAsia="ru-RU"/>
        </w:rPr>
      </w:pPr>
    </w:p>
    <w:p w:rsidR="00887EE1" w:rsidRPr="00A733D6" w:rsidRDefault="00887EE1" w:rsidP="00887EE1">
      <w:pPr>
        <w:shd w:val="clear" w:color="auto" w:fill="FFFFFF"/>
        <w:spacing w:before="150" w:after="0" w:line="450" w:lineRule="atLeast"/>
        <w:ind w:firstLine="709"/>
        <w:jc w:val="center"/>
        <w:outlineLvl w:val="0"/>
        <w:rPr>
          <w:rFonts w:ascii="Times New Roman" w:eastAsia="Times New Roman" w:hAnsi="Times New Roman" w:cs="Times New Roman"/>
          <w:b/>
          <w:color w:val="475C7A"/>
          <w:kern w:val="36"/>
          <w:sz w:val="36"/>
          <w:szCs w:val="36"/>
          <w:lang w:eastAsia="ru-RU"/>
        </w:rPr>
      </w:pPr>
      <w:r w:rsidRPr="00A733D6">
        <w:rPr>
          <w:rFonts w:ascii="Times New Roman" w:eastAsia="Times New Roman" w:hAnsi="Times New Roman" w:cs="Times New Roman"/>
          <w:b/>
          <w:color w:val="475C7A"/>
          <w:kern w:val="36"/>
          <w:sz w:val="36"/>
          <w:szCs w:val="36"/>
          <w:lang w:eastAsia="ru-RU"/>
        </w:rPr>
        <w:lastRenderedPageBreak/>
        <w:t xml:space="preserve">Игры с блоками </w:t>
      </w:r>
      <w:proofErr w:type="spellStart"/>
      <w:r w:rsidRPr="00A733D6">
        <w:rPr>
          <w:rFonts w:ascii="Times New Roman" w:eastAsia="Times New Roman" w:hAnsi="Times New Roman" w:cs="Times New Roman"/>
          <w:b/>
          <w:color w:val="475C7A"/>
          <w:kern w:val="36"/>
          <w:sz w:val="36"/>
          <w:szCs w:val="36"/>
          <w:lang w:eastAsia="ru-RU"/>
        </w:rPr>
        <w:t>Д</w:t>
      </w:r>
      <w:bookmarkStart w:id="0" w:name="_GoBack"/>
      <w:bookmarkEnd w:id="0"/>
      <w:r w:rsidRPr="00A733D6">
        <w:rPr>
          <w:rFonts w:ascii="Times New Roman" w:eastAsia="Times New Roman" w:hAnsi="Times New Roman" w:cs="Times New Roman"/>
          <w:b/>
          <w:color w:val="475C7A"/>
          <w:kern w:val="36"/>
          <w:sz w:val="36"/>
          <w:szCs w:val="36"/>
          <w:lang w:eastAsia="ru-RU"/>
        </w:rPr>
        <w:t>ьенеша</w:t>
      </w:r>
      <w:proofErr w:type="spellEnd"/>
      <w:r w:rsidRPr="00A733D6">
        <w:rPr>
          <w:rFonts w:ascii="Times New Roman" w:eastAsia="Times New Roman" w:hAnsi="Times New Roman" w:cs="Times New Roman"/>
          <w:b/>
          <w:color w:val="475C7A"/>
          <w:kern w:val="36"/>
          <w:sz w:val="36"/>
          <w:szCs w:val="36"/>
          <w:lang w:eastAsia="ru-RU"/>
        </w:rPr>
        <w:t xml:space="preserve"> как средство формирования предпосылок учебной деятельности у детей дошкольного возраста</w:t>
      </w:r>
    </w:p>
    <w:p w:rsidR="009562F0" w:rsidRPr="00A733D6" w:rsidRDefault="009562F0" w:rsidP="00887EE1">
      <w:pPr>
        <w:shd w:val="clear" w:color="auto" w:fill="FFFFFF"/>
        <w:spacing w:before="150" w:after="0" w:line="450" w:lineRule="atLeast"/>
        <w:ind w:firstLine="709"/>
        <w:jc w:val="center"/>
        <w:outlineLvl w:val="0"/>
        <w:rPr>
          <w:rFonts w:ascii="Times New Roman" w:eastAsia="Times New Roman" w:hAnsi="Times New Roman" w:cs="Times New Roman"/>
          <w:color w:val="475C7A"/>
          <w:kern w:val="36"/>
          <w:sz w:val="28"/>
          <w:szCs w:val="28"/>
          <w:lang w:eastAsia="ru-RU"/>
        </w:rPr>
      </w:pP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Одним из требований ФГОС к содержанию и организации образовательного процесса для детей дошкольного возраста является формирование предпосылок учебной деятельности. И, действительно, в современном обществе учебная деятельность стала «второй профессией» любого человека. Она выполняется им на протяжении всей жизни и во многом определяет продвижение в основном избранном деле. Поэтому направленное формирование целостной учебной деятельности, развитие тесно связанных с ней интеллектуальных, познавательных сил учащихся является сегодня ведущей линией обновления образовательной практики. На первый план выходят и оцениваются не столько сами знания, сколько средства, инструменты самостоятельного приобретения знаний, независимо от того, к какой предметной области (русский язык, математика, естествознание или др.) они принадлежат.</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Вся мыслительная деятельность человека состоит из логических операций. Однако практика показывает, что усвоение знаний на различных этапах школьного обучения вызывает существенные затруднения у многих учащихся. Трудности абстрагирования, обобщения, выделения существенного и отбрасывания несущественного проявляются на всех этапах школьного обучения. Недостаточное развитие ведущих мыслительных операций приводит к различным трудностям в анализе – мысленном разделении предмета на части с последующим их сравнением; синтезе – построении целого из частей; сравнении – выделении общих и различных признаков в ряде предметов; систематизации и классификации – построении предметов или объектов по какой-либо схеме и упорядочивании их по какому-либо признаку; </w:t>
      </w:r>
      <w:proofErr w:type="gramStart"/>
      <w:r w:rsidRPr="00A733D6">
        <w:rPr>
          <w:rFonts w:ascii="Times New Roman" w:eastAsia="Times New Roman" w:hAnsi="Times New Roman" w:cs="Times New Roman"/>
          <w:color w:val="303F50"/>
          <w:sz w:val="28"/>
          <w:szCs w:val="28"/>
          <w:lang w:eastAsia="ru-RU"/>
        </w:rPr>
        <w:t>обобщении</w:t>
      </w:r>
      <w:proofErr w:type="gramEnd"/>
      <w:r w:rsidRPr="00A733D6">
        <w:rPr>
          <w:rFonts w:ascii="Times New Roman" w:eastAsia="Times New Roman" w:hAnsi="Times New Roman" w:cs="Times New Roman"/>
          <w:color w:val="303F50"/>
          <w:sz w:val="28"/>
          <w:szCs w:val="28"/>
          <w:lang w:eastAsia="ru-RU"/>
        </w:rPr>
        <w:t xml:space="preserve"> – связывании предмета с классом объектов на основе существенных признаков. Поэтому обучение в детском саду должно быть направлено, прежде всего, на воспитание у детей полноценной логической аргументации окружающего, формирование предпосылок учебной деятельности, которые тесно связаны с освоением мыслительных операций.</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Успешному решению задачи развития основных мыслительных операций у детей способствуют игры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Этот универсальный материал, разработанный венгерским ученым, помогает ребенку овладеть мыслительными операциями и действиями, такими как: сравнение, обобщение, классификация, абстрагирование, кодирование и декодирование. </w:t>
      </w:r>
      <w:proofErr w:type="gramStart"/>
      <w:r w:rsidRPr="00A733D6">
        <w:rPr>
          <w:rFonts w:ascii="Times New Roman" w:eastAsia="Times New Roman" w:hAnsi="Times New Roman" w:cs="Times New Roman"/>
          <w:color w:val="303F50"/>
          <w:sz w:val="28"/>
          <w:szCs w:val="28"/>
          <w:lang w:eastAsia="ru-RU"/>
        </w:rPr>
        <w:t xml:space="preserve">В комплекте «Блоки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48 фигур четырех форм: круга, треугольника, прямоугольника и квадрата; трех цветов: красного, </w:t>
      </w:r>
      <w:r w:rsidRPr="00A733D6">
        <w:rPr>
          <w:rFonts w:ascii="Times New Roman" w:eastAsia="Times New Roman" w:hAnsi="Times New Roman" w:cs="Times New Roman"/>
          <w:color w:val="303F50"/>
          <w:sz w:val="28"/>
          <w:szCs w:val="28"/>
          <w:lang w:eastAsia="ru-RU"/>
        </w:rPr>
        <w:lastRenderedPageBreak/>
        <w:t>желтого, синего; двух размеров: маленького и большого; двух видов толщины: толстых и тонких.</w:t>
      </w:r>
      <w:proofErr w:type="gramEnd"/>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Таким образом, в комплекте нет ни одной абсолютно одинаковой фигуры. Каждая из фигур характеризуется четырьмя признаками: формой, цветом, размером, толщиной.</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На подготовительном этапе дети знакомятся с содержанием обучающей игры. При помощи восприятия они познают внешние свойства предметов в их совокупности (цвет, форму, величину). Дети могут, не отвлекаясь, подолгу упражняться в преобразовании фигур, перекладывая блоки по собственному замыслу или образцу.</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В процессе игр с блоками у детей развиваются зрительные и осязательные анализаторы. Ребята воспринимают в предмете новые качества и свойства, обводят пальчиком контуры предметов, группируют их по цвету, размеру, форме и т. д. Такие способы обследования предметов имеют </w:t>
      </w:r>
      <w:proofErr w:type="gramStart"/>
      <w:r w:rsidRPr="00A733D6">
        <w:rPr>
          <w:rFonts w:ascii="Times New Roman" w:eastAsia="Times New Roman" w:hAnsi="Times New Roman" w:cs="Times New Roman"/>
          <w:color w:val="303F50"/>
          <w:sz w:val="28"/>
          <w:szCs w:val="28"/>
          <w:lang w:eastAsia="ru-RU"/>
        </w:rPr>
        <w:t>важное значение</w:t>
      </w:r>
      <w:proofErr w:type="gramEnd"/>
      <w:r w:rsidRPr="00A733D6">
        <w:rPr>
          <w:rFonts w:ascii="Times New Roman" w:eastAsia="Times New Roman" w:hAnsi="Times New Roman" w:cs="Times New Roman"/>
          <w:color w:val="303F50"/>
          <w:sz w:val="28"/>
          <w:szCs w:val="28"/>
          <w:lang w:eastAsia="ru-RU"/>
        </w:rPr>
        <w:t xml:space="preserve"> для формирования операций сравнения, обобщения.</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Затем дети начинают устанавливать сходства и различия между фигурами. Восприятие ребенка приобретает более целенаправленный и организованный характер. Важно, чтобы ребенок понимал смысл вопросов «Чем </w:t>
      </w:r>
      <w:proofErr w:type="gramStart"/>
      <w:r w:rsidRPr="00A733D6">
        <w:rPr>
          <w:rFonts w:ascii="Times New Roman" w:eastAsia="Times New Roman" w:hAnsi="Times New Roman" w:cs="Times New Roman"/>
          <w:color w:val="303F50"/>
          <w:sz w:val="28"/>
          <w:szCs w:val="28"/>
          <w:lang w:eastAsia="ru-RU"/>
        </w:rPr>
        <w:t>похожи</w:t>
      </w:r>
      <w:proofErr w:type="gramEnd"/>
      <w:r w:rsidRPr="00A733D6">
        <w:rPr>
          <w:rFonts w:ascii="Times New Roman" w:eastAsia="Times New Roman" w:hAnsi="Times New Roman" w:cs="Times New Roman"/>
          <w:color w:val="303F50"/>
          <w:sz w:val="28"/>
          <w:szCs w:val="28"/>
          <w:lang w:eastAsia="ru-RU"/>
        </w:rPr>
        <w:t>?» и «Чем отличаются?» Например, перед детьми лежат блоки только круглой формы, но разного размера, цвета и толщины. Чем похожи эти фигуры? Ребенок отвечает: «Это круг, и это круг, и это круг». Педагог: «Правильно, все фигуры круглой формы, они похожи по форме. А чем они отличаются?» - «Этот круг желтый, этот синий, а этот красный». Педагог: «Да, они отличаются по цвету. А еще есть отличия?» Дети: «Этот маленький, а этот большой». – « Правильно, и по величине они разные».</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Аналогичным образом дети устанавливают различия фигур по толщине. Постепенно они овладевают сенсорными эталонами и их обобщающими понятиями, такими как форма, цвет, размер, толщина.</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На следующем этапе в игру включаются элементы поиска. Дети учатся находить блоки по одному, двум, трем и всем четырем имеющимся признакам. Например, им предлагается найти и показать любой квадрат. Среди 48 блоков различной формы дети находят только квадратные блоки. Таких блоков 12. Так дети осуществляют поиск фигуры по одному заданному свойству (по форме). Далее предлагается найти фигуру по двум признакам, например - синий квадрат. Ребенок должен мысленно отсечь все ненужное (т.е. абстрагироваться от несущественных признаков) и вести поиск только среди фигур квадратной формы. Дети находят четыре фигуры по двум заданным свойствам (цвету и форме). После этого предлагается найти блок по трем заданным свойствам, например - квадратный синий большой блок. Поле поиска ребенка сужается до 2 фигур, а заданные свойства увеличиваются до трех (цвет, форма, размер). И наконец, из двух фигур выбирается одна фигура по всем четырем заданным свойствам (цвету, форме, </w:t>
      </w:r>
      <w:r w:rsidRPr="00A733D6">
        <w:rPr>
          <w:rFonts w:ascii="Times New Roman" w:eastAsia="Times New Roman" w:hAnsi="Times New Roman" w:cs="Times New Roman"/>
          <w:color w:val="303F50"/>
          <w:sz w:val="28"/>
          <w:szCs w:val="28"/>
          <w:lang w:eastAsia="ru-RU"/>
        </w:rPr>
        <w:lastRenderedPageBreak/>
        <w:t>размеру, толщине). В играх такого типа у детей формируется важнейшая мыслительная операция – абстрагирование. Кроме того, ребенок приходит к умозаключению, что, чем больше заданных свойств положено в основание поиска, тем меньшее количество фигур можно найти, и наоборот.</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На новом этапе детям предлагаются игры и упражнения, где свойства блоков изображены на карточках.</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Так, цвет изображается пятном.</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Величина – силуэтом домика (большой, маленький).</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Форма – соответственно контурами фигур.</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Толщина – условным изображением человеческой фигуры (</w:t>
      </w:r>
      <w:proofErr w:type="gramStart"/>
      <w:r w:rsidRPr="00A733D6">
        <w:rPr>
          <w:rFonts w:ascii="Times New Roman" w:eastAsia="Times New Roman" w:hAnsi="Times New Roman" w:cs="Times New Roman"/>
          <w:color w:val="303F50"/>
          <w:sz w:val="28"/>
          <w:szCs w:val="28"/>
          <w:lang w:eastAsia="ru-RU"/>
        </w:rPr>
        <w:t>тонкий</w:t>
      </w:r>
      <w:proofErr w:type="gramEnd"/>
      <w:r w:rsidRPr="00A733D6">
        <w:rPr>
          <w:rFonts w:ascii="Times New Roman" w:eastAsia="Times New Roman" w:hAnsi="Times New Roman" w:cs="Times New Roman"/>
          <w:color w:val="303F50"/>
          <w:sz w:val="28"/>
          <w:szCs w:val="28"/>
          <w:lang w:eastAsia="ru-RU"/>
        </w:rPr>
        <w:t>, толстый). Такая интерпретация кодировки свой</w:t>
      </w:r>
      <w:proofErr w:type="gramStart"/>
      <w:r w:rsidRPr="00A733D6">
        <w:rPr>
          <w:rFonts w:ascii="Times New Roman" w:eastAsia="Times New Roman" w:hAnsi="Times New Roman" w:cs="Times New Roman"/>
          <w:color w:val="303F50"/>
          <w:sz w:val="28"/>
          <w:szCs w:val="28"/>
          <w:lang w:eastAsia="ru-RU"/>
        </w:rPr>
        <w:t>ств бл</w:t>
      </w:r>
      <w:proofErr w:type="gramEnd"/>
      <w:r w:rsidRPr="00A733D6">
        <w:rPr>
          <w:rFonts w:ascii="Times New Roman" w:eastAsia="Times New Roman" w:hAnsi="Times New Roman" w:cs="Times New Roman"/>
          <w:color w:val="303F50"/>
          <w:sz w:val="28"/>
          <w:szCs w:val="28"/>
          <w:lang w:eastAsia="ru-RU"/>
        </w:rPr>
        <w:t>оков предложена самим автором дидактического материала.</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Карточки рассматриваются с детьми, уточняется, какие свойства обозначены на них. Рассматриваются с детьми и сами блоки. Пользуясь карточками, ребята называют «имя» каждого блока, т.е. перечисляют его признаки. Научившись с помощью карточек вести поиск фигуры, дети с удовольствием загадывают друг другу фигуру, которую необходимо отыскать. Дети могут придумать и нарисовать свою схему, или обозначить свойства фигур словами. В игру включается соревновательный элемент. Выигрывает тот, кто ни разу не ошибется как при шифровке, так и при поиске закодированной фигуры.</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Подобные игры позволяют моделировать такое понятие, как кодирование и декодирование информации, важное не только в математике, но и в информатике.</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После того, как дети познакомятся со знаками, можно вводить игры на заполнение таблиц. Воспитателем готовятся таблицы, каждая из которых позволяет отражать возможные сочетания двух, трех или четырех определенных признаков.</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Игровая задача – как можно быстрее и правильнее найти домик для каждой фигуры. Победитель может быть определен в ходе индивидуального, парного или группового первенства.</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Значительно усложняет предыдущий вариант игры введение значка отрицания «не», который в рисуночном коде выражается перечеркиванием </w:t>
      </w:r>
      <w:proofErr w:type="gramStart"/>
      <w:r w:rsidRPr="00A733D6">
        <w:rPr>
          <w:rFonts w:ascii="Times New Roman" w:eastAsia="Times New Roman" w:hAnsi="Times New Roman" w:cs="Times New Roman"/>
          <w:color w:val="303F50"/>
          <w:sz w:val="28"/>
          <w:szCs w:val="28"/>
          <w:lang w:eastAsia="ru-RU"/>
        </w:rPr>
        <w:t>крест накрест</w:t>
      </w:r>
      <w:proofErr w:type="gramEnd"/>
      <w:r w:rsidRPr="00A733D6">
        <w:rPr>
          <w:rFonts w:ascii="Times New Roman" w:eastAsia="Times New Roman" w:hAnsi="Times New Roman" w:cs="Times New Roman"/>
          <w:color w:val="303F50"/>
          <w:sz w:val="28"/>
          <w:szCs w:val="28"/>
          <w:lang w:eastAsia="ru-RU"/>
        </w:rPr>
        <w:t xml:space="preserve"> соответствующего кодирующего рисунка. Так, к примеру, «небольшой» – означает «маленький», «немаленький» - означает «большой». Детям можно предложить найти фигуру по </w:t>
      </w:r>
      <w:proofErr w:type="spellStart"/>
      <w:r w:rsidRPr="00A733D6">
        <w:rPr>
          <w:rFonts w:ascii="Times New Roman" w:eastAsia="Times New Roman" w:hAnsi="Times New Roman" w:cs="Times New Roman"/>
          <w:color w:val="303F50"/>
          <w:sz w:val="28"/>
          <w:szCs w:val="28"/>
          <w:lang w:eastAsia="ru-RU"/>
        </w:rPr>
        <w:t>опредленной</w:t>
      </w:r>
      <w:proofErr w:type="spellEnd"/>
      <w:r w:rsidRPr="00A733D6">
        <w:rPr>
          <w:rFonts w:ascii="Times New Roman" w:eastAsia="Times New Roman" w:hAnsi="Times New Roman" w:cs="Times New Roman"/>
          <w:color w:val="303F50"/>
          <w:sz w:val="28"/>
          <w:szCs w:val="28"/>
          <w:lang w:eastAsia="ru-RU"/>
        </w:rPr>
        <w:t xml:space="preserve"> схеме. Такие игры формируют у детей понятия об отрицании некоторого свойства с помощью частицы «не».</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Игры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чрезвычайно многообразны и вовсе не исчерпываются предложенными вариантами. Существует большое </w:t>
      </w:r>
      <w:r w:rsidRPr="00A733D6">
        <w:rPr>
          <w:rFonts w:ascii="Times New Roman" w:eastAsia="Times New Roman" w:hAnsi="Times New Roman" w:cs="Times New Roman"/>
          <w:color w:val="303F50"/>
          <w:sz w:val="28"/>
          <w:szCs w:val="28"/>
          <w:lang w:eastAsia="ru-RU"/>
        </w:rPr>
        <w:lastRenderedPageBreak/>
        <w:t xml:space="preserve">разнообразие различных вариантов </w:t>
      </w:r>
      <w:proofErr w:type="gramStart"/>
      <w:r w:rsidRPr="00A733D6">
        <w:rPr>
          <w:rFonts w:ascii="Times New Roman" w:eastAsia="Times New Roman" w:hAnsi="Times New Roman" w:cs="Times New Roman"/>
          <w:color w:val="303F50"/>
          <w:sz w:val="28"/>
          <w:szCs w:val="28"/>
          <w:lang w:eastAsia="ru-RU"/>
        </w:rPr>
        <w:t>от</w:t>
      </w:r>
      <w:proofErr w:type="gramEnd"/>
      <w:r w:rsidRPr="00A733D6">
        <w:rPr>
          <w:rFonts w:ascii="Times New Roman" w:eastAsia="Times New Roman" w:hAnsi="Times New Roman" w:cs="Times New Roman"/>
          <w:color w:val="303F50"/>
          <w:sz w:val="28"/>
          <w:szCs w:val="28"/>
          <w:lang w:eastAsia="ru-RU"/>
        </w:rPr>
        <w:t xml:space="preserve"> простых до самых сложных, над которыми и взрослому интересно «поломать голову». Главное, чтобы игры проводились в определенной системе с учетом принципа «от простого к </w:t>
      </w:r>
      <w:proofErr w:type="gramStart"/>
      <w:r w:rsidRPr="00A733D6">
        <w:rPr>
          <w:rFonts w:ascii="Times New Roman" w:eastAsia="Times New Roman" w:hAnsi="Times New Roman" w:cs="Times New Roman"/>
          <w:color w:val="303F50"/>
          <w:sz w:val="28"/>
          <w:szCs w:val="28"/>
          <w:lang w:eastAsia="ru-RU"/>
        </w:rPr>
        <w:t>сложному</w:t>
      </w:r>
      <w:proofErr w:type="gramEnd"/>
      <w:r w:rsidRPr="00A733D6">
        <w:rPr>
          <w:rFonts w:ascii="Times New Roman" w:eastAsia="Times New Roman" w:hAnsi="Times New Roman" w:cs="Times New Roman"/>
          <w:color w:val="303F50"/>
          <w:sz w:val="28"/>
          <w:szCs w:val="28"/>
          <w:lang w:eastAsia="ru-RU"/>
        </w:rPr>
        <w:t>». Уяснение педагогом значимости включения данных игр в образовательную деятельность, поможет ему более рационально использовать их интеллектуально-развивающие ресурсы и самостоятельно создавать авторские оригинальные дидактические игры. И тогда игра для его воспитанников станет «школой мышления» - школой естественной, радостной и сосем не трудной.</w: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color w:val="303F50"/>
          <w:sz w:val="28"/>
          <w:szCs w:val="28"/>
          <w:lang w:eastAsia="ru-RU"/>
        </w:rPr>
        <w:t xml:space="preserve">Переступив порог школы, вчерашний дошкольник попадает в совершенно непривычный для него мир. От того, каким будет его знакомство с этим миром, что он ему подарит, зависит, подружится ли с ним ребенок, или будет себя чувствовать в нем чужим и незащищенным. Игры с блоками </w:t>
      </w:r>
      <w:proofErr w:type="spellStart"/>
      <w:r w:rsidRPr="00A733D6">
        <w:rPr>
          <w:rFonts w:ascii="Times New Roman" w:eastAsia="Times New Roman" w:hAnsi="Times New Roman" w:cs="Times New Roman"/>
          <w:color w:val="303F50"/>
          <w:sz w:val="28"/>
          <w:szCs w:val="28"/>
          <w:lang w:eastAsia="ru-RU"/>
        </w:rPr>
        <w:t>Дьенеша</w:t>
      </w:r>
      <w:proofErr w:type="spellEnd"/>
      <w:r w:rsidRPr="00A733D6">
        <w:rPr>
          <w:rFonts w:ascii="Times New Roman" w:eastAsia="Times New Roman" w:hAnsi="Times New Roman" w:cs="Times New Roman"/>
          <w:color w:val="303F50"/>
          <w:sz w:val="28"/>
          <w:szCs w:val="28"/>
          <w:lang w:eastAsia="ru-RU"/>
        </w:rPr>
        <w:t xml:space="preserve"> </w:t>
      </w:r>
      <w:proofErr w:type="spellStart"/>
      <w:r w:rsidRPr="00A733D6">
        <w:rPr>
          <w:rFonts w:ascii="Times New Roman" w:eastAsia="Times New Roman" w:hAnsi="Times New Roman" w:cs="Times New Roman"/>
          <w:color w:val="303F50"/>
          <w:sz w:val="28"/>
          <w:szCs w:val="28"/>
          <w:lang w:eastAsia="ru-RU"/>
        </w:rPr>
        <w:t>неспеша</w:t>
      </w:r>
      <w:proofErr w:type="spellEnd"/>
      <w:r w:rsidRPr="00A733D6">
        <w:rPr>
          <w:rFonts w:ascii="Times New Roman" w:eastAsia="Times New Roman" w:hAnsi="Times New Roman" w:cs="Times New Roman"/>
          <w:color w:val="303F50"/>
          <w:sz w:val="28"/>
          <w:szCs w:val="28"/>
          <w:lang w:eastAsia="ru-RU"/>
        </w:rPr>
        <w:t xml:space="preserve"> и осторожно приоткроют дверь в этот мир, и если это будет осуществляться систематично, то можно быть уверенным в результате: тренируемые интеллектуальные процессы и качества станут помощниками, а не препятствием в овладении будущими школьниками образовательной программой.</w:t>
      </w:r>
    </w:p>
    <w:p w:rsidR="00887EE1" w:rsidRPr="00A733D6" w:rsidRDefault="00A733D6" w:rsidP="00887EE1">
      <w:pPr>
        <w:spacing w:after="0" w:line="240" w:lineRule="auto"/>
        <w:ind w:firstLine="709"/>
        <w:rPr>
          <w:rFonts w:ascii="Times New Roman" w:eastAsia="Times New Roman" w:hAnsi="Times New Roman" w:cs="Times New Roman"/>
          <w:sz w:val="28"/>
          <w:szCs w:val="28"/>
          <w:lang w:eastAsia="ru-RU"/>
        </w:rPr>
      </w:pPr>
      <w:r w:rsidRPr="00A733D6">
        <w:rPr>
          <w:rFonts w:ascii="Times New Roman" w:eastAsia="Times New Roman" w:hAnsi="Times New Roman" w:cs="Times New Roman"/>
          <w:sz w:val="28"/>
          <w:szCs w:val="28"/>
          <w:lang w:eastAsia="ru-RU"/>
        </w:rPr>
        <w:pict>
          <v:rect id="_x0000_i1025" style="width:0;height:1.5pt" o:hrstd="t" o:hrnoshade="t" o:hr="t" fillcolor="#303f50" stroked="f"/>
        </w:pict>
      </w:r>
    </w:p>
    <w:p w:rsidR="00887EE1" w:rsidRPr="00A733D6" w:rsidRDefault="00887EE1" w:rsidP="00887EE1">
      <w:pPr>
        <w:shd w:val="clear" w:color="auto" w:fill="FFFFFF"/>
        <w:spacing w:before="150" w:after="150" w:line="293" w:lineRule="atLeast"/>
        <w:ind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Список литературы:</w:t>
      </w:r>
    </w:p>
    <w:p w:rsidR="00887EE1" w:rsidRPr="00A733D6" w:rsidRDefault="00887EE1" w:rsidP="00887EE1">
      <w:pPr>
        <w:numPr>
          <w:ilvl w:val="0"/>
          <w:numId w:val="1"/>
        </w:numPr>
        <w:shd w:val="clear" w:color="auto" w:fill="FFFFFF"/>
        <w:spacing w:before="45" w:after="0" w:line="293" w:lineRule="atLeast"/>
        <w:ind w:left="165"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Дошкольная педагогика: Учеб. пособие</w:t>
      </w:r>
      <w:proofErr w:type="gramStart"/>
      <w:r w:rsidRPr="00A733D6">
        <w:rPr>
          <w:rFonts w:ascii="Times New Roman" w:eastAsia="Times New Roman" w:hAnsi="Times New Roman" w:cs="Times New Roman"/>
          <w:i/>
          <w:iCs/>
          <w:color w:val="303F50"/>
          <w:sz w:val="28"/>
          <w:szCs w:val="28"/>
          <w:lang w:eastAsia="ru-RU"/>
        </w:rPr>
        <w:t xml:space="preserve"> / С</w:t>
      </w:r>
      <w:proofErr w:type="gramEnd"/>
      <w:r w:rsidRPr="00A733D6">
        <w:rPr>
          <w:rFonts w:ascii="Times New Roman" w:eastAsia="Times New Roman" w:hAnsi="Times New Roman" w:cs="Times New Roman"/>
          <w:i/>
          <w:iCs/>
          <w:color w:val="303F50"/>
          <w:sz w:val="28"/>
          <w:szCs w:val="28"/>
          <w:lang w:eastAsia="ru-RU"/>
        </w:rPr>
        <w:t>ост. С.А. Козлова, Т.А.Куликова. – М.: Издательский центр «Академия», 1998. – 432с.</w:t>
      </w:r>
    </w:p>
    <w:p w:rsidR="00887EE1" w:rsidRPr="00A733D6" w:rsidRDefault="00887EE1" w:rsidP="00887EE1">
      <w:pPr>
        <w:numPr>
          <w:ilvl w:val="0"/>
          <w:numId w:val="1"/>
        </w:numPr>
        <w:shd w:val="clear" w:color="auto" w:fill="FFFFFF"/>
        <w:spacing w:before="45" w:after="0" w:line="293" w:lineRule="atLeast"/>
        <w:ind w:left="165"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Учиться только на пятерки: Учебно-методическое издание / С.Н.Костромина. – М.: АСТ; СПб</w:t>
      </w:r>
      <w:proofErr w:type="gramStart"/>
      <w:r w:rsidRPr="00A733D6">
        <w:rPr>
          <w:rFonts w:ascii="Times New Roman" w:eastAsia="Times New Roman" w:hAnsi="Times New Roman" w:cs="Times New Roman"/>
          <w:i/>
          <w:iCs/>
          <w:color w:val="303F50"/>
          <w:sz w:val="28"/>
          <w:szCs w:val="28"/>
          <w:lang w:eastAsia="ru-RU"/>
        </w:rPr>
        <w:t xml:space="preserve">.: </w:t>
      </w:r>
      <w:proofErr w:type="spellStart"/>
      <w:proofErr w:type="gramEnd"/>
      <w:r w:rsidRPr="00A733D6">
        <w:rPr>
          <w:rFonts w:ascii="Times New Roman" w:eastAsia="Times New Roman" w:hAnsi="Times New Roman" w:cs="Times New Roman"/>
          <w:i/>
          <w:iCs/>
          <w:color w:val="303F50"/>
          <w:sz w:val="28"/>
          <w:szCs w:val="28"/>
          <w:lang w:eastAsia="ru-RU"/>
        </w:rPr>
        <w:t>Прайм-Еврознак</w:t>
      </w:r>
      <w:proofErr w:type="spellEnd"/>
      <w:r w:rsidRPr="00A733D6">
        <w:rPr>
          <w:rFonts w:ascii="Times New Roman" w:eastAsia="Times New Roman" w:hAnsi="Times New Roman" w:cs="Times New Roman"/>
          <w:i/>
          <w:iCs/>
          <w:color w:val="303F50"/>
          <w:sz w:val="28"/>
          <w:szCs w:val="28"/>
          <w:lang w:eastAsia="ru-RU"/>
        </w:rPr>
        <w:t>, 2008. – 504с.</w:t>
      </w:r>
    </w:p>
    <w:p w:rsidR="00887EE1" w:rsidRPr="00A733D6" w:rsidRDefault="00887EE1" w:rsidP="00887EE1">
      <w:pPr>
        <w:numPr>
          <w:ilvl w:val="0"/>
          <w:numId w:val="1"/>
        </w:numPr>
        <w:shd w:val="clear" w:color="auto" w:fill="FFFFFF"/>
        <w:spacing w:before="45" w:after="0" w:line="293" w:lineRule="atLeast"/>
        <w:ind w:left="165"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 xml:space="preserve">Как помочь слабоуспевающему школьнику: Психодиагностические таблицы / Н.П. </w:t>
      </w:r>
      <w:proofErr w:type="spellStart"/>
      <w:r w:rsidRPr="00A733D6">
        <w:rPr>
          <w:rFonts w:ascii="Times New Roman" w:eastAsia="Times New Roman" w:hAnsi="Times New Roman" w:cs="Times New Roman"/>
          <w:i/>
          <w:iCs/>
          <w:color w:val="303F50"/>
          <w:sz w:val="28"/>
          <w:szCs w:val="28"/>
          <w:lang w:eastAsia="ru-RU"/>
        </w:rPr>
        <w:t>Локалова</w:t>
      </w:r>
      <w:proofErr w:type="spellEnd"/>
      <w:r w:rsidRPr="00A733D6">
        <w:rPr>
          <w:rFonts w:ascii="Times New Roman" w:eastAsia="Times New Roman" w:hAnsi="Times New Roman" w:cs="Times New Roman"/>
          <w:i/>
          <w:iCs/>
          <w:color w:val="303F50"/>
          <w:sz w:val="28"/>
          <w:szCs w:val="28"/>
          <w:lang w:eastAsia="ru-RU"/>
        </w:rPr>
        <w:t xml:space="preserve">. – Изд. 3-е, </w:t>
      </w:r>
      <w:proofErr w:type="spellStart"/>
      <w:r w:rsidRPr="00A733D6">
        <w:rPr>
          <w:rFonts w:ascii="Times New Roman" w:eastAsia="Times New Roman" w:hAnsi="Times New Roman" w:cs="Times New Roman"/>
          <w:i/>
          <w:iCs/>
          <w:color w:val="303F50"/>
          <w:sz w:val="28"/>
          <w:szCs w:val="28"/>
          <w:lang w:eastAsia="ru-RU"/>
        </w:rPr>
        <w:t>перераб</w:t>
      </w:r>
      <w:proofErr w:type="spellEnd"/>
      <w:r w:rsidRPr="00A733D6">
        <w:rPr>
          <w:rFonts w:ascii="Times New Roman" w:eastAsia="Times New Roman" w:hAnsi="Times New Roman" w:cs="Times New Roman"/>
          <w:i/>
          <w:iCs/>
          <w:color w:val="303F50"/>
          <w:sz w:val="28"/>
          <w:szCs w:val="28"/>
          <w:lang w:eastAsia="ru-RU"/>
        </w:rPr>
        <w:t>. и доп. – М.: «Ось-89», 2003. – 96с.</w:t>
      </w:r>
    </w:p>
    <w:p w:rsidR="00887EE1" w:rsidRPr="00A733D6" w:rsidRDefault="00887EE1" w:rsidP="00887EE1">
      <w:pPr>
        <w:numPr>
          <w:ilvl w:val="0"/>
          <w:numId w:val="1"/>
        </w:numPr>
        <w:shd w:val="clear" w:color="auto" w:fill="FFFFFF"/>
        <w:spacing w:before="45" w:after="0" w:line="293" w:lineRule="atLeast"/>
        <w:ind w:left="165"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Игровая школа мышления: Методическое пособие. (Серия «Игровые технологии») / О.А. Степанова. – М.: ТЦ Сфера, 2003. – 128с.</w:t>
      </w:r>
    </w:p>
    <w:p w:rsidR="00887EE1" w:rsidRPr="00A733D6" w:rsidRDefault="00887EE1" w:rsidP="00887EE1">
      <w:pPr>
        <w:numPr>
          <w:ilvl w:val="0"/>
          <w:numId w:val="1"/>
        </w:numPr>
        <w:shd w:val="clear" w:color="auto" w:fill="FFFFFF"/>
        <w:spacing w:before="45" w:after="0" w:line="293" w:lineRule="atLeast"/>
        <w:ind w:left="165" w:firstLine="709"/>
        <w:rPr>
          <w:rFonts w:ascii="Times New Roman" w:eastAsia="Times New Roman" w:hAnsi="Times New Roman" w:cs="Times New Roman"/>
          <w:color w:val="303F50"/>
          <w:sz w:val="28"/>
          <w:szCs w:val="28"/>
          <w:lang w:eastAsia="ru-RU"/>
        </w:rPr>
      </w:pPr>
      <w:r w:rsidRPr="00A733D6">
        <w:rPr>
          <w:rFonts w:ascii="Times New Roman" w:eastAsia="Times New Roman" w:hAnsi="Times New Roman" w:cs="Times New Roman"/>
          <w:i/>
          <w:iCs/>
          <w:color w:val="303F50"/>
          <w:sz w:val="28"/>
          <w:szCs w:val="28"/>
          <w:lang w:eastAsia="ru-RU"/>
        </w:rPr>
        <w:t xml:space="preserve">И учеба, и игра: Математика. Популярное пособие для родителей и педагогов / Т.И. </w:t>
      </w:r>
      <w:proofErr w:type="spellStart"/>
      <w:r w:rsidRPr="00A733D6">
        <w:rPr>
          <w:rFonts w:ascii="Times New Roman" w:eastAsia="Times New Roman" w:hAnsi="Times New Roman" w:cs="Times New Roman"/>
          <w:i/>
          <w:iCs/>
          <w:color w:val="303F50"/>
          <w:sz w:val="28"/>
          <w:szCs w:val="28"/>
          <w:lang w:eastAsia="ru-RU"/>
        </w:rPr>
        <w:t>Тарабарина</w:t>
      </w:r>
      <w:proofErr w:type="spellEnd"/>
      <w:r w:rsidRPr="00A733D6">
        <w:rPr>
          <w:rFonts w:ascii="Times New Roman" w:eastAsia="Times New Roman" w:hAnsi="Times New Roman" w:cs="Times New Roman"/>
          <w:i/>
          <w:iCs/>
          <w:color w:val="303F50"/>
          <w:sz w:val="28"/>
          <w:szCs w:val="28"/>
          <w:lang w:eastAsia="ru-RU"/>
        </w:rPr>
        <w:t xml:space="preserve">, Н.В. </w:t>
      </w:r>
      <w:proofErr w:type="spellStart"/>
      <w:r w:rsidRPr="00A733D6">
        <w:rPr>
          <w:rFonts w:ascii="Times New Roman" w:eastAsia="Times New Roman" w:hAnsi="Times New Roman" w:cs="Times New Roman"/>
          <w:i/>
          <w:iCs/>
          <w:color w:val="303F50"/>
          <w:sz w:val="28"/>
          <w:szCs w:val="28"/>
          <w:lang w:eastAsia="ru-RU"/>
        </w:rPr>
        <w:t>Елкина</w:t>
      </w:r>
      <w:proofErr w:type="spellEnd"/>
      <w:r w:rsidRPr="00A733D6">
        <w:rPr>
          <w:rFonts w:ascii="Times New Roman" w:eastAsia="Times New Roman" w:hAnsi="Times New Roman" w:cs="Times New Roman"/>
          <w:i/>
          <w:iCs/>
          <w:color w:val="303F50"/>
          <w:sz w:val="28"/>
          <w:szCs w:val="28"/>
          <w:lang w:eastAsia="ru-RU"/>
        </w:rPr>
        <w:t>. – Ярославль: «Академия развития» , 1997. – 240с.</w:t>
      </w:r>
    </w:p>
    <w:p w:rsidR="00A36A88" w:rsidRPr="00A733D6" w:rsidRDefault="00A733D6">
      <w:pPr>
        <w:ind w:firstLine="709"/>
        <w:rPr>
          <w:rFonts w:ascii="Times New Roman" w:hAnsi="Times New Roman" w:cs="Times New Roman"/>
          <w:sz w:val="28"/>
          <w:szCs w:val="28"/>
        </w:rPr>
      </w:pPr>
    </w:p>
    <w:sectPr w:rsidR="00A36A88" w:rsidRPr="00A733D6" w:rsidSect="00780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DB9"/>
    <w:multiLevelType w:val="multilevel"/>
    <w:tmpl w:val="F85E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9A7A40"/>
    <w:multiLevelType w:val="multilevel"/>
    <w:tmpl w:val="93A47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E805925"/>
    <w:multiLevelType w:val="multilevel"/>
    <w:tmpl w:val="3E8AB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5846FDF"/>
    <w:multiLevelType w:val="multilevel"/>
    <w:tmpl w:val="01F4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9D112E"/>
    <w:multiLevelType w:val="multilevel"/>
    <w:tmpl w:val="9488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B76B25"/>
    <w:multiLevelType w:val="multilevel"/>
    <w:tmpl w:val="50E6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7EE1"/>
    <w:rsid w:val="004D2FB8"/>
    <w:rsid w:val="00710F05"/>
    <w:rsid w:val="007808FE"/>
    <w:rsid w:val="007F4AB3"/>
    <w:rsid w:val="00887EE1"/>
    <w:rsid w:val="009562F0"/>
    <w:rsid w:val="0096655A"/>
    <w:rsid w:val="00A733D6"/>
    <w:rsid w:val="00D81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FE"/>
  </w:style>
  <w:style w:type="paragraph" w:styleId="1">
    <w:name w:val="heading 1"/>
    <w:basedOn w:val="a"/>
    <w:link w:val="10"/>
    <w:uiPriority w:val="9"/>
    <w:qFormat/>
    <w:rsid w:val="00887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E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7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7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01550">
      <w:bodyDiv w:val="1"/>
      <w:marLeft w:val="0"/>
      <w:marRight w:val="0"/>
      <w:marTop w:val="0"/>
      <w:marBottom w:val="0"/>
      <w:divBdr>
        <w:top w:val="none" w:sz="0" w:space="0" w:color="auto"/>
        <w:left w:val="none" w:sz="0" w:space="0" w:color="auto"/>
        <w:bottom w:val="none" w:sz="0" w:space="0" w:color="auto"/>
        <w:right w:val="none" w:sz="0" w:space="0" w:color="auto"/>
      </w:divBdr>
    </w:div>
    <w:div w:id="16938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dc:creator>
  <cp:lastModifiedBy>x</cp:lastModifiedBy>
  <cp:revision>3</cp:revision>
  <dcterms:created xsi:type="dcterms:W3CDTF">2016-02-27T09:34:00Z</dcterms:created>
  <dcterms:modified xsi:type="dcterms:W3CDTF">2018-10-29T11:17:00Z</dcterms:modified>
</cp:coreProperties>
</file>